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7E" w:rsidRDefault="0041367E" w:rsidP="00ED750D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FD7A6F" w:rsidRPr="00FD7A6F" w:rsidRDefault="00FD7A6F" w:rsidP="00ED750D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</w:pPr>
      <w:r w:rsidRPr="00FD7A6F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Quelques notes sur l’application BIP :</w:t>
      </w:r>
    </w:p>
    <w:p w:rsidR="00FD7A6F" w:rsidRP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BIP est dédié aux PME/PMI.</w:t>
      </w:r>
    </w:p>
    <w:p w:rsidR="00FD7A6F" w:rsidRP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BIP (Business Intelligence </w:t>
      </w:r>
      <w:proofErr w:type="spellStart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Process</w:t>
      </w:r>
      <w:proofErr w:type="spellEnd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) apporte une révolution dans la conception même des applications traditionnelles (type  ERP).</w:t>
      </w:r>
    </w:p>
    <w:p w:rsidR="00FD7A6F" w:rsidRP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BIP permet à l’entreprise de faciliter le pilotage et le suivi de son Business.</w:t>
      </w:r>
    </w:p>
    <w:p w:rsidR="00FD7A6F" w:rsidRP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BIP a été conçu en fusionnant judicieusement le travail collaboratif et la modélisation des processus métier de l’entreprise (</w:t>
      </w:r>
      <w:proofErr w:type="spellStart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workflow</w:t>
      </w:r>
      <w:proofErr w:type="spellEnd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). En fonction des saisies du personnel, collaborateurs, sous-traitants et clients  dans l’application,  le </w:t>
      </w:r>
      <w:proofErr w:type="spellStart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workflow</w:t>
      </w:r>
      <w:proofErr w:type="spellEnd"/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B.I.P. gère automatiquement l’avancement et le statut des dossiers d’affaires de votre entreprise, exécute des actions et remonte des tableaux de bord aux décideurs.</w:t>
      </w:r>
    </w:p>
    <w:p w:rsidR="00FD7A6F" w:rsidRP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BIP permet, via un seul accès par internet sur un environnement dédié à votre entreprise d’organiser de façon structurée la  collaboration entre votre personnel, vos collaborateurs /sous traitants et vos clients.</w:t>
      </w:r>
    </w:p>
    <w:p w:rsidR="00FD7A6F" w:rsidRDefault="00FD7A6F" w:rsidP="00FD7A6F">
      <w:pPr>
        <w:pStyle w:val="Paragraphedeliste"/>
        <w:numPr>
          <w:ilvl w:val="0"/>
          <w:numId w:val="5"/>
        </w:num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FD7A6F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L’ergonomie est très simple, accès sur l’essentiel et respecte les mêmes séquences d’utilisation d’un module à un autre. Elle est complètement pensée pour les PME/PMI permettant de rationaliser les coûts de formations et le changement de personnel. </w:t>
      </w:r>
    </w:p>
    <w:p w:rsidR="00FD7A6F" w:rsidRDefault="00FD7A6F" w:rsidP="00FD7A6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3227" w:type="dxa"/>
        <w:shd w:val="clear" w:color="auto" w:fill="BFBFBF" w:themeFill="background1" w:themeFillShade="BF"/>
        <w:tblLook w:val="04A0"/>
      </w:tblPr>
      <w:tblGrid>
        <w:gridCol w:w="7513"/>
      </w:tblGrid>
      <w:tr w:rsidR="00FD7A6F" w:rsidRPr="00FD7A6F" w:rsidTr="00FD7A6F">
        <w:tc>
          <w:tcPr>
            <w:tcW w:w="7513" w:type="dxa"/>
            <w:shd w:val="clear" w:color="auto" w:fill="BFBFBF" w:themeFill="background1" w:themeFillShade="BF"/>
          </w:tcPr>
          <w:p w:rsidR="00FD7A6F" w:rsidRDefault="00FD7A6F" w:rsidP="00FD7A6F">
            <w:pPr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  <w:p w:rsidR="00FD7A6F" w:rsidRDefault="00FD7A6F" w:rsidP="00FD7A6F">
            <w:pPr>
              <w:jc w:val="center"/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sym w:font="Wingdings" w:char="F024"/>
            </w:r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 xml:space="preserve"> Voir le document </w:t>
            </w:r>
            <w:proofErr w:type="spellStart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>pdf</w:t>
            </w:r>
            <w:proofErr w:type="spellEnd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 xml:space="preserve"> : B.I.P - Concept </w:t>
            </w:r>
            <w:proofErr w:type="spellStart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>slide</w:t>
            </w:r>
            <w:proofErr w:type="spellEnd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>presentation</w:t>
            </w:r>
            <w:proofErr w:type="spellEnd"/>
            <w:r w:rsidRPr="00FD7A6F"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  <w:t xml:space="preserve"> V1</w:t>
            </w:r>
          </w:p>
          <w:p w:rsidR="00FD7A6F" w:rsidRPr="00FD7A6F" w:rsidRDefault="00FD7A6F" w:rsidP="00FD7A6F">
            <w:pPr>
              <w:rPr>
                <w:rFonts w:ascii="Calibri" w:eastAsia="Times New Roman" w:hAnsi="Calibri" w:cs="Arial"/>
                <w:color w:val="002060"/>
                <w:sz w:val="24"/>
                <w:szCs w:val="24"/>
                <w:lang w:eastAsia="fr-FR"/>
              </w:rPr>
            </w:pPr>
          </w:p>
        </w:tc>
      </w:tr>
    </w:tbl>
    <w:p w:rsidR="00FD7A6F" w:rsidRPr="00FD7A6F" w:rsidRDefault="00FD7A6F" w:rsidP="00FD7A6F">
      <w:pPr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</w:p>
    <w:p w:rsidR="00FD7A6F" w:rsidRDefault="00FD7A6F" w:rsidP="00ED750D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FD7A6F" w:rsidRDefault="00FD7A6F" w:rsidP="00ED750D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1)</w:t>
      </w:r>
      <w:r w:rsidRPr="00ED750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fr-FR"/>
        </w:rPr>
        <w:t xml:space="preserve">      </w:t>
      </w: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Facturation effectué à ce jour auprès de mes premiers clients :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N’est pas représentative d’une offre commerciale, surtout si elle est orientée « web marketing » (réduction des coûts). 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La facturation est répartie entre un </w:t>
      </w:r>
      <w:r w:rsidRPr="00CB7F2C">
        <w:rPr>
          <w:rFonts w:ascii="Calibri" w:eastAsia="Times New Roman" w:hAnsi="Calibri" w:cs="Arial"/>
          <w:b/>
          <w:color w:val="000000"/>
          <w:sz w:val="24"/>
          <w:szCs w:val="24"/>
          <w:lang w:eastAsia="fr-FR"/>
        </w:rPr>
        <w:t>ticket d’entrée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et un </w:t>
      </w:r>
      <w:r w:rsidRPr="00CB7F2C">
        <w:rPr>
          <w:rFonts w:ascii="Calibri" w:eastAsia="Times New Roman" w:hAnsi="Calibri" w:cs="Arial"/>
          <w:b/>
          <w:color w:val="000000"/>
          <w:sz w:val="24"/>
          <w:szCs w:val="24"/>
          <w:lang w:eastAsia="fr-FR"/>
        </w:rPr>
        <w:t>abonnement mensuel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. Pour les premiers développements, le ticket d’entrée a été conséquent, avec un abonnement à coût réduit (de 60€ à </w:t>
      </w:r>
      <w:r w:rsidR="0087243C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4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50€ / mois)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Le contrat est de type FAH (Fournisseur d’applications Hébergées). Cette approche permet de rassurer les clients en mettant en place un nom de domaine dédié et une base de données dédiée.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Cette infrastructure a un coût plus important qu’un déploiement </w:t>
      </w:r>
      <w:proofErr w:type="spellStart"/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SaaS</w:t>
      </w:r>
      <w:proofErr w:type="spellEnd"/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en « Cloud ». Aussi, cette cible devra être étudiée pour une catégorie de clients</w:t>
      </w:r>
      <w:r w:rsidR="00374B38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à moyen terme.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 </w:t>
      </w:r>
    </w:p>
    <w:p w:rsidR="00374B38" w:rsidRDefault="00374B38" w:rsidP="00ED750D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374B38" w:rsidRDefault="00374B38" w:rsidP="00CB7F2C">
      <w:pPr>
        <w:spacing w:after="0" w:line="240" w:lineRule="auto"/>
        <w:ind w:left="720"/>
        <w:jc w:val="center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2)</w:t>
      </w:r>
      <w:r w:rsidRPr="00ED750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fr-FR"/>
        </w:rPr>
        <w:t xml:space="preserve">      </w:t>
      </w: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Ebauche d’offre :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BIP est une application d’entreprise. C’est un produit mais qui demande de la configuration, du paramétrage voir du développement.</w:t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Dans ce contexte, le ticket d’entrée ne peut pas être fixe. Néanmoins, il faut un prix de base comprenant le déploiement sur une infrastructure standard et l’adaptation du « </w:t>
      </w:r>
      <w:proofErr w:type="spellStart"/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workflow</w:t>
      </w:r>
      <w:proofErr w:type="spellEnd"/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 standard» lié aux dossiers seuls.</w:t>
      </w:r>
    </w:p>
    <w:p w:rsidR="00ED750D" w:rsidRPr="00ED750D" w:rsidRDefault="00ED750D" w:rsidP="00ED750D">
      <w:pPr>
        <w:spacing w:after="0" w:line="240" w:lineRule="auto"/>
        <w:ind w:left="108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-</w:t>
      </w:r>
      <w:r w:rsidRPr="00ED750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="00CB7F2C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L’infrastructure d’h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ébergement doit comporter des options</w:t>
      </w:r>
    </w:p>
    <w:p w:rsidR="00ED750D" w:rsidRPr="00ED750D" w:rsidRDefault="00ED750D" w:rsidP="00ED750D">
      <w:pPr>
        <w:spacing w:line="240" w:lineRule="auto"/>
        <w:ind w:left="108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-</w:t>
      </w:r>
      <w:r w:rsidRPr="00ED750D">
        <w:rPr>
          <w:rFonts w:ascii="Times New Roman" w:eastAsia="Times New Roman" w:hAnsi="Times New Roman" w:cs="Times New Roman"/>
          <w:color w:val="000000"/>
          <w:sz w:val="14"/>
          <w:szCs w:val="14"/>
          <w:lang w:eastAsia="fr-FR"/>
        </w:rPr>
        <w:t xml:space="preserve">          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Pour l’instant, il n’y a pas d’option fonctionnelle (le client dispose de tou</w:t>
      </w:r>
      <w:r w:rsidR="00374B38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tes les fonctionnalités et 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modules</w:t>
      </w:r>
      <w:r w:rsidR="00374B38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)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.</w:t>
      </w:r>
    </w:p>
    <w:p w:rsidR="00ED750D" w:rsidRPr="00ED750D" w:rsidRDefault="00ED750D" w:rsidP="00ED750D">
      <w:pPr>
        <w:spacing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Une étude auprès des premiers prospects </w:t>
      </w:r>
      <w:r w:rsidR="00CB7F2C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sera 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nécessaire afin de définir une fourchette réaliste du ticket d’’entrée.</w:t>
      </w:r>
    </w:p>
    <w:p w:rsidR="00ED750D" w:rsidRPr="00ED750D" w:rsidRDefault="00ED750D" w:rsidP="00ED750D">
      <w:pPr>
        <w:spacing w:line="240" w:lineRule="auto"/>
        <w:ind w:left="708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Le coût mensuel est basé sur le nombre d’utilisateur. Il faut un tarif de base (pack de </w:t>
      </w:r>
      <w:r w:rsidR="00CB7F2C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n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licences </w:t>
      </w:r>
      <w:r w:rsidR="00CB7F2C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min</w:t>
      </w: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) puis dégressif pour les packs suivants.</w:t>
      </w:r>
    </w:p>
    <w:p w:rsidR="00374B38" w:rsidRDefault="00ED750D" w:rsidP="00ED750D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 </w:t>
      </w:r>
    </w:p>
    <w:p w:rsidR="00374B38" w:rsidRPr="00ED750D" w:rsidRDefault="00374B38" w:rsidP="00374B38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3)</w:t>
      </w:r>
      <w:r w:rsidRPr="00ED750D">
        <w:rPr>
          <w:rFonts w:ascii="Times New Roman" w:eastAsia="Times New Roman" w:hAnsi="Times New Roman" w:cs="Times New Roman"/>
          <w:b/>
          <w:bCs/>
          <w:color w:val="000000"/>
          <w:sz w:val="14"/>
          <w:szCs w:val="14"/>
          <w:lang w:eastAsia="fr-FR"/>
        </w:rPr>
        <w:t xml:space="preserve">      </w:t>
      </w: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Type d’offre</w:t>
      </w:r>
    </w:p>
    <w:p w:rsidR="00374B38" w:rsidRDefault="00374B38" w:rsidP="00374B38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La cible étant les PME/PMI, voir TPE, l’offre doit être simple, claire et attractive.</w:t>
      </w:r>
    </w:p>
    <w:p w:rsidR="00374B38" w:rsidRDefault="00374B38" w:rsidP="00374B38">
      <w:pPr>
        <w:spacing w:after="0" w:line="240" w:lineRule="auto"/>
        <w:ind w:left="720"/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On peut partir sur l’ébauche des </w:t>
      </w:r>
      <w:r w:rsidR="002B3647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>2</w:t>
      </w:r>
      <w:r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t xml:space="preserve"> types d’offres suivantes :</w:t>
      </w:r>
    </w:p>
    <w:p w:rsidR="00374B38" w:rsidRDefault="00374B38">
      <w:pPr>
        <w:rPr>
          <w:rFonts w:ascii="Calibri" w:eastAsia="Times New Roman" w:hAnsi="Calibri" w:cs="Arial"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br w:type="page"/>
      </w:r>
    </w:p>
    <w:p w:rsidR="00ED750D" w:rsidRPr="00ED750D" w:rsidRDefault="00ED750D" w:rsidP="00ED750D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color w:val="000000"/>
          <w:sz w:val="24"/>
          <w:szCs w:val="24"/>
          <w:lang w:eastAsia="fr-FR"/>
        </w:rPr>
        <w:lastRenderedPageBreak/>
        <w:t> 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9"/>
        <w:gridCol w:w="1843"/>
        <w:gridCol w:w="2268"/>
      </w:tblGrid>
      <w:tr w:rsidR="002B3647" w:rsidRPr="00ED750D" w:rsidTr="00E45807">
        <w:tc>
          <w:tcPr>
            <w:tcW w:w="11199" w:type="dxa"/>
            <w:shd w:val="clear" w:color="auto" w:fill="A6A6A6" w:themeFill="background1" w:themeFillShade="A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3647" w:rsidRPr="002B3647" w:rsidRDefault="002B3647" w:rsidP="002B364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B364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Offre</w:t>
            </w:r>
          </w:p>
        </w:tc>
        <w:tc>
          <w:tcPr>
            <w:tcW w:w="1843" w:type="dxa"/>
            <w:shd w:val="clear" w:color="auto" w:fill="A6A6A6" w:themeFill="background1" w:themeFillShade="A6"/>
          </w:tcPr>
          <w:p w:rsidR="0012475E" w:rsidRPr="00E45807" w:rsidRDefault="002B3647" w:rsidP="00E4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Business PRO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2B3647" w:rsidRPr="00E45807" w:rsidRDefault="002B3647" w:rsidP="00E4580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Business PERFORMANCE</w:t>
            </w:r>
          </w:p>
        </w:tc>
      </w:tr>
      <w:tr w:rsidR="002B3647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0D" w:rsidRPr="00ED750D" w:rsidRDefault="002B3647" w:rsidP="00ED750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D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Ticket d’entrée</w:t>
            </w:r>
          </w:p>
        </w:tc>
        <w:tc>
          <w:tcPr>
            <w:tcW w:w="1843" w:type="dxa"/>
          </w:tcPr>
          <w:p w:rsidR="002B3647" w:rsidRPr="00BC5DF6" w:rsidRDefault="00CB7F2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1500.00</w:t>
            </w:r>
          </w:p>
        </w:tc>
        <w:tc>
          <w:tcPr>
            <w:tcW w:w="2268" w:type="dxa"/>
          </w:tcPr>
          <w:p w:rsidR="002B3647" w:rsidRPr="00BC5DF6" w:rsidRDefault="0087243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1900.00</w:t>
            </w:r>
          </w:p>
        </w:tc>
      </w:tr>
      <w:tr w:rsidR="002B3647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750D" w:rsidRPr="00ED750D" w:rsidRDefault="0087243C" w:rsidP="00ED750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A</w:t>
            </w:r>
            <w:r w:rsidRPr="00ED750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daptation du « </w:t>
            </w:r>
            <w:proofErr w:type="spellStart"/>
            <w:r w:rsidRPr="00ED750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workflow</w:t>
            </w:r>
            <w:proofErr w:type="spellEnd"/>
            <w:r w:rsidRPr="00ED750D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 standard»</w:t>
            </w: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 pour le module DOSSIER</w:t>
            </w:r>
          </w:p>
        </w:tc>
        <w:tc>
          <w:tcPr>
            <w:tcW w:w="1843" w:type="dxa"/>
          </w:tcPr>
          <w:p w:rsidR="002B3647" w:rsidRPr="00BC5DF6" w:rsidRDefault="0079407D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79407D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Sur devis</w:t>
            </w:r>
          </w:p>
        </w:tc>
        <w:tc>
          <w:tcPr>
            <w:tcW w:w="2268" w:type="dxa"/>
          </w:tcPr>
          <w:p w:rsidR="002B3647" w:rsidRDefault="00BC5DF6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  <w:p w:rsidR="00BC5DF6" w:rsidRPr="00BC5DF6" w:rsidRDefault="00BC5DF6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shd w:val="clear" w:color="auto" w:fill="FFFF00"/>
                <w:lang w:eastAsia="fr-FR"/>
              </w:rPr>
            </w:pPr>
            <w:r w:rsidRPr="00BC5DF6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2 jours</w:t>
            </w:r>
          </w:p>
        </w:tc>
      </w:tr>
      <w:tr w:rsidR="0087243C" w:rsidRPr="00ED750D" w:rsidTr="00777425">
        <w:tc>
          <w:tcPr>
            <w:tcW w:w="11199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43C" w:rsidRPr="00ED750D" w:rsidRDefault="00BC5DF6" w:rsidP="00392CEE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BC5DF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Adaptation </w:t>
            </w:r>
            <w:proofErr w:type="spellStart"/>
            <w:r w:rsidRPr="00BC5DF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workflow</w:t>
            </w:r>
            <w:proofErr w:type="spellEnd"/>
            <w:r w:rsidRPr="00BC5DF6"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 xml:space="preserve"> des modules fonctionnels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243C" w:rsidRPr="00BC5DF6" w:rsidRDefault="0079407D" w:rsidP="00BC5DF6">
            <w:pPr>
              <w:spacing w:before="120" w:after="120" w:line="240" w:lineRule="auto"/>
              <w:ind w:left="360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Sur devis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243C" w:rsidRPr="00BC5DF6" w:rsidRDefault="0079407D" w:rsidP="00BC5DF6">
            <w:pPr>
              <w:spacing w:before="120" w:after="120" w:line="240" w:lineRule="auto"/>
              <w:ind w:left="360"/>
              <w:jc w:val="center"/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Sur devis</w:t>
            </w:r>
          </w:p>
        </w:tc>
      </w:tr>
      <w:tr w:rsidR="00A565AC" w:rsidRPr="00777425" w:rsidTr="00777425">
        <w:tc>
          <w:tcPr>
            <w:tcW w:w="1119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77425" w:rsidRDefault="00A565AC" w:rsidP="00392CEE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Installation d’une infrastructure d’hébergement dédié</w:t>
            </w:r>
          </w:p>
        </w:tc>
        <w:tc>
          <w:tcPr>
            <w:tcW w:w="1843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777425" w:rsidTr="00777425">
        <w:tc>
          <w:tcPr>
            <w:tcW w:w="1119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77425" w:rsidRDefault="00A565AC" w:rsidP="00A565AC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Déploiement de l’application sur l’infrastructure d’hébergement dédiée</w:t>
            </w:r>
          </w:p>
        </w:tc>
        <w:tc>
          <w:tcPr>
            <w:tcW w:w="1843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777425" w:rsidTr="00777425">
        <w:tc>
          <w:tcPr>
            <w:tcW w:w="1119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77425" w:rsidRDefault="00A565AC" w:rsidP="00A565AC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Vérification de bon fonctionnement, de la tenue en charge, de la sauvegarde et haute disponibilité</w:t>
            </w:r>
          </w:p>
        </w:tc>
        <w:tc>
          <w:tcPr>
            <w:tcW w:w="1843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777425" w:rsidTr="00777425">
        <w:tc>
          <w:tcPr>
            <w:tcW w:w="1119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77425" w:rsidRDefault="00A565AC" w:rsidP="00392CEE">
            <w:pPr>
              <w:spacing w:before="120" w:after="120" w:line="240" w:lineRule="auto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fr-FR"/>
              </w:rPr>
              <w:t>Mise en service et vérification de la sécurité et  protections</w:t>
            </w:r>
          </w:p>
        </w:tc>
        <w:tc>
          <w:tcPr>
            <w:tcW w:w="1843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  <w:shd w:val="clear" w:color="auto" w:fill="FFFFFF" w:themeFill="background1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BC5DF6">
        <w:tc>
          <w:tcPr>
            <w:tcW w:w="11199" w:type="dxa"/>
            <w:shd w:val="clear" w:color="auto" w:fill="808080" w:themeFill="background1" w:themeFillShade="8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D750D" w:rsidRDefault="00A565AC" w:rsidP="00392C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843" w:type="dxa"/>
            <w:shd w:val="clear" w:color="auto" w:fill="808080" w:themeFill="background1" w:themeFillShade="80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  <w:tc>
          <w:tcPr>
            <w:tcW w:w="2268" w:type="dxa"/>
            <w:shd w:val="clear" w:color="auto" w:fill="808080" w:themeFill="background1" w:themeFillShade="80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D750D" w:rsidRDefault="00A565AC" w:rsidP="00392CE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ED750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 redevance due au titre de l’abonnement et toutes sommes afférentes sont facturées tous les 6 mois pour les services suivants :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  <w:tc>
          <w:tcPr>
            <w:tcW w:w="2268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D750D" w:rsidRDefault="00A565AC" w:rsidP="00ED750D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D750D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fr-FR"/>
              </w:rPr>
              <w:t>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 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Pack 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utilisateurs</w:t>
            </w:r>
          </w:p>
          <w:p w:rsidR="00A565AC" w:rsidRDefault="00A565AC" w:rsidP="0012475E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750D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fr-FR"/>
              </w:rPr>
              <w:t>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Pack 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utilisateurs</w:t>
            </w:r>
          </w:p>
          <w:p w:rsidR="00A565AC" w:rsidRDefault="00A565AC" w:rsidP="0012475E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750D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fr-FR"/>
              </w:rPr>
              <w:t>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Pack 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20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utilisateurs</w:t>
            </w:r>
          </w:p>
          <w:p w:rsidR="00A565AC" w:rsidRDefault="00A565AC" w:rsidP="0012475E">
            <w:pPr>
              <w:spacing w:before="120" w:after="120" w:line="240" w:lineRule="auto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750D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fr-FR"/>
              </w:rPr>
              <w:t>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> 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Pack 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30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utilisateurs</w:t>
            </w:r>
          </w:p>
          <w:p w:rsidR="00A565AC" w:rsidRPr="00ED750D" w:rsidRDefault="00A565AC" w:rsidP="0012475E">
            <w:pPr>
              <w:spacing w:before="120" w:after="120" w:line="240" w:lineRule="auto"/>
              <w:ind w:left="720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D750D">
              <w:rPr>
                <w:rFonts w:ascii="Wingdings" w:eastAsia="Times New Roman" w:hAnsi="Wingdings" w:cs="Arial"/>
                <w:color w:val="000000"/>
                <w:sz w:val="24"/>
                <w:szCs w:val="24"/>
                <w:lang w:eastAsia="fr-FR"/>
              </w:rPr>
              <w:t>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Pack licence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50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utilisateurs</w:t>
            </w:r>
          </w:p>
        </w:tc>
        <w:tc>
          <w:tcPr>
            <w:tcW w:w="1843" w:type="dxa"/>
          </w:tcPr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130€/mois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195€/mois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330€/mois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430€/mois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500€/mois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  <w:tc>
          <w:tcPr>
            <w:tcW w:w="2268" w:type="dxa"/>
          </w:tcPr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180€/mois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245€/mois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380€/mois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480€/mois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  <w:r w:rsidRPr="00E45807"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  <w:t>550€/mois</w:t>
            </w:r>
          </w:p>
          <w:p w:rsidR="00A565AC" w:rsidRPr="00E45807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bCs/>
                <w:color w:val="000000"/>
                <w:shd w:val="clear" w:color="auto" w:fill="FFFF00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45807" w:rsidRDefault="00A565AC" w:rsidP="0087243C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lastRenderedPageBreak/>
              <w:t xml:space="preserve">Type d’hébergement : 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  <w:tc>
          <w:tcPr>
            <w:tcW w:w="2268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45807" w:rsidRDefault="00A565AC" w:rsidP="00E45807">
            <w:pPr>
              <w:pStyle w:val="Paragraphedeliste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Nom de domaine web dédié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45807" w:rsidRDefault="00A565AC" w:rsidP="00A85A3C">
            <w:pPr>
              <w:pStyle w:val="Paragraphedeliste"/>
              <w:numPr>
                <w:ilvl w:val="0"/>
                <w:numId w:val="4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espace d’hébergement pour l’application</w:t>
            </w:r>
          </w:p>
        </w:tc>
        <w:tc>
          <w:tcPr>
            <w:tcW w:w="1843" w:type="dxa"/>
          </w:tcPr>
          <w:p w:rsidR="00A565AC" w:rsidRPr="00BC5DF6" w:rsidRDefault="00A565AC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fr-FR"/>
              </w:rPr>
            </w:pPr>
            <w:r w:rsidRPr="00794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(ressources garanties)</w:t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Espace disque  pour stocker l’application et les fichiers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75</w:t>
            </w:r>
            <w:r w:rsidRPr="00BC5DF6">
              <w:rPr>
                <w:rFonts w:ascii="Arial" w:eastAsia="Times New Roman" w:hAnsi="Arial" w:cs="Arial"/>
                <w:color w:val="000000"/>
                <w:lang w:eastAsia="fr-FR"/>
              </w:rPr>
              <w:t xml:space="preserve"> Go</w:t>
            </w:r>
          </w:p>
        </w:tc>
        <w:tc>
          <w:tcPr>
            <w:tcW w:w="2268" w:type="dxa"/>
          </w:tcPr>
          <w:p w:rsidR="00A565AC" w:rsidRPr="00BC5DF6" w:rsidRDefault="00A565AC" w:rsidP="00BC5D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lang w:eastAsia="fr-FR"/>
              </w:rPr>
              <w:t>150</w:t>
            </w:r>
            <w:r w:rsidRPr="00BC5DF6">
              <w:rPr>
                <w:rFonts w:ascii="Arial" w:eastAsia="Times New Roman" w:hAnsi="Arial" w:cs="Arial"/>
                <w:color w:val="000000"/>
                <w:lang w:eastAsia="fr-FR"/>
              </w:rPr>
              <w:t xml:space="preserve"> Go</w:t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Base de données dédié MySQL avec partage des ressources du serveur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5DF6">
              <w:rPr>
                <w:rFonts w:ascii="Arial" w:eastAsia="Times New Roman" w:hAnsi="Arial" w:cs="Arial"/>
                <w:color w:val="000000"/>
                <w:lang w:eastAsia="fr-FR"/>
              </w:rPr>
              <w:t>(400Mo)</w:t>
            </w:r>
          </w:p>
        </w:tc>
        <w:tc>
          <w:tcPr>
            <w:tcW w:w="2268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Base de données dédié MySQL avec ressources dédiées du serveur</w:t>
            </w:r>
          </w:p>
        </w:tc>
        <w:tc>
          <w:tcPr>
            <w:tcW w:w="1843" w:type="dxa"/>
          </w:tcPr>
          <w:p w:rsidR="00A565AC" w:rsidRPr="00BC5DF6" w:rsidRDefault="00A565AC" w:rsidP="00BC5DF6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565AC" w:rsidRDefault="00A565AC" w:rsidP="007454DC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color w:val="000000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BC5DF6">
              <w:rPr>
                <w:rFonts w:ascii="Arial" w:eastAsia="Times New Roman" w:hAnsi="Arial" w:cs="Arial"/>
                <w:color w:val="000000"/>
                <w:lang w:eastAsia="fr-FR"/>
              </w:rPr>
              <w:t>(</w:t>
            </w:r>
            <w:r>
              <w:rPr>
                <w:rFonts w:ascii="Arial" w:eastAsia="Times New Roman" w:hAnsi="Arial" w:cs="Arial"/>
                <w:color w:val="000000"/>
                <w:lang w:eastAsia="fr-FR"/>
              </w:rPr>
              <w:t>2</w:t>
            </w:r>
            <w:r w:rsidRPr="00BC5DF6">
              <w:rPr>
                <w:rFonts w:ascii="Arial" w:eastAsia="Times New Roman" w:hAnsi="Arial" w:cs="Arial"/>
                <w:color w:val="000000"/>
                <w:lang w:eastAsia="fr-FR"/>
              </w:rPr>
              <w:t>Go)</w:t>
            </w:r>
          </w:p>
          <w:p w:rsidR="00A85A3C" w:rsidRPr="00BC5DF6" w:rsidRDefault="00A85A3C" w:rsidP="007454DC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Arial" w:eastAsia="Times New Roman" w:hAnsi="Arial" w:cs="Arial"/>
                <w:color w:val="000000"/>
                <w:sz w:val="18"/>
                <w:szCs w:val="18"/>
                <w:lang w:eastAsia="fr-FR"/>
              </w:rPr>
              <w:t>(ressources garanties)</w:t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Trafic illimité</w:t>
            </w:r>
          </w:p>
        </w:tc>
        <w:tc>
          <w:tcPr>
            <w:tcW w:w="1843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Haute disponibilité</w:t>
            </w:r>
          </w:p>
        </w:tc>
        <w:tc>
          <w:tcPr>
            <w:tcW w:w="1843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Espace fichier et base de données sauvegardés quotidiennement</w:t>
            </w:r>
          </w:p>
        </w:tc>
        <w:tc>
          <w:tcPr>
            <w:tcW w:w="1843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Administration et suivi de l’application</w:t>
            </w:r>
          </w:p>
        </w:tc>
        <w:tc>
          <w:tcPr>
            <w:tcW w:w="1843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E45807" w:rsidRDefault="00A565AC" w:rsidP="00E45807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Métrologie afin d’être proactif en cas de besoin d’évolution de l’infrastructure en raison des montée</w:t>
            </w:r>
            <w:r w:rsidR="00A85A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</w:t>
            </w: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en charge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. Conseil &amp; Assistance d’optimisation / d’évolution de l’infrastructure d’hébergement.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D750D" w:rsidRDefault="00A565AC" w:rsidP="003813D0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Support &amp;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</w:t>
            </w: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ssistance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5/7 </w:t>
            </w:r>
            <w:r w:rsidR="0038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:00 – 1</w:t>
            </w:r>
            <w:r w:rsidR="003813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:00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Default="00A565AC" w:rsidP="007B701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Formation en </w:t>
            </w:r>
            <w:proofErr w:type="spellStart"/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conf</w:t>
            </w:r>
            <w:proofErr w:type="spellEnd"/>
            <w:r w:rsidRPr="00ED75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call</w:t>
            </w:r>
          </w:p>
          <w:p w:rsidR="00A565AC" w:rsidRPr="007B701C" w:rsidRDefault="00A565AC" w:rsidP="007B701C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heures de prise en main</w:t>
            </w:r>
          </w:p>
          <w:p w:rsidR="00A565AC" w:rsidRPr="007B701C" w:rsidRDefault="00A565AC" w:rsidP="007B701C">
            <w:pPr>
              <w:pStyle w:val="Paragraphedeliste"/>
              <w:numPr>
                <w:ilvl w:val="0"/>
                <w:numId w:val="2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B70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 heure de débriefing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E45807" w:rsidRDefault="00A565AC" w:rsidP="0079407D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fr-FR"/>
              </w:rPr>
            </w:pPr>
            <w:r w:rsidRPr="00E4580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fr-FR"/>
              </w:rPr>
              <w:lastRenderedPageBreak/>
              <w:t>Déploiement des correctifs et des évolutions du socle dans le cadre des évolutions générales de la plate-forme collaborative BIP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2 fois / an au maximum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</w:tr>
      <w:tr w:rsidR="00A565AC" w:rsidRPr="00ED750D" w:rsidTr="002B3647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5AC" w:rsidRPr="0079407D" w:rsidRDefault="00A565AC" w:rsidP="0079407D">
            <w:pPr>
              <w:pStyle w:val="Paragraphedeliste"/>
              <w:numPr>
                <w:ilvl w:val="0"/>
                <w:numId w:val="3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A chaque nouvelle version</w:t>
            </w:r>
          </w:p>
        </w:tc>
        <w:tc>
          <w:tcPr>
            <w:tcW w:w="1843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2268" w:type="dxa"/>
          </w:tcPr>
          <w:p w:rsidR="00A565AC" w:rsidRPr="0079407D" w:rsidRDefault="00A565AC" w:rsidP="0079407D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BC5DF6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  <w:sym w:font="Wingdings" w:char="F0FC"/>
            </w:r>
          </w:p>
        </w:tc>
      </w:tr>
    </w:tbl>
    <w:p w:rsidR="00ED750D" w:rsidRPr="00ED750D" w:rsidRDefault="00ED750D" w:rsidP="00ED750D">
      <w:pPr>
        <w:spacing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 </w:t>
      </w:r>
    </w:p>
    <w:p w:rsidR="00E45807" w:rsidRDefault="00E45807">
      <w:pPr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</w:pPr>
    </w:p>
    <w:p w:rsidR="00ED750D" w:rsidRDefault="00ED750D" w:rsidP="00ED750D">
      <w:pPr>
        <w:spacing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</w:pP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OPTION</w:t>
      </w:r>
      <w:r w:rsidR="007B701C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S</w:t>
      </w:r>
      <w:r w:rsidRPr="00ED750D">
        <w:rPr>
          <w:rFonts w:ascii="Calibri" w:eastAsia="Times New Roman" w:hAnsi="Calibri" w:cs="Arial"/>
          <w:b/>
          <w:bCs/>
          <w:color w:val="000000"/>
          <w:sz w:val="24"/>
          <w:szCs w:val="24"/>
          <w:u w:val="single"/>
          <w:lang w:eastAsia="fr-FR"/>
        </w:rPr>
        <w:t> :</w:t>
      </w:r>
    </w:p>
    <w:tbl>
      <w:tblPr>
        <w:tblW w:w="1531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199"/>
        <w:gridCol w:w="1843"/>
        <w:gridCol w:w="2268"/>
      </w:tblGrid>
      <w:tr w:rsidR="0079407D" w:rsidRPr="00ED750D" w:rsidTr="0050122E">
        <w:tc>
          <w:tcPr>
            <w:tcW w:w="1119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407D" w:rsidRPr="0079407D" w:rsidRDefault="0079407D" w:rsidP="0079407D">
            <w:pPr>
              <w:spacing w:before="120" w:after="120" w:line="240" w:lineRule="auto"/>
              <w:rPr>
                <w:rFonts w:ascii="Arial" w:eastAsia="Times New Roman" w:hAnsi="Arial" w:cs="Arial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Formation sur site</w:t>
            </w:r>
          </w:p>
        </w:tc>
        <w:tc>
          <w:tcPr>
            <w:tcW w:w="1843" w:type="dxa"/>
          </w:tcPr>
          <w:p w:rsidR="0079407D" w:rsidRPr="0079407D" w:rsidRDefault="0079407D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Sur devis</w:t>
            </w:r>
          </w:p>
        </w:tc>
        <w:tc>
          <w:tcPr>
            <w:tcW w:w="2268" w:type="dxa"/>
          </w:tcPr>
          <w:p w:rsidR="0079407D" w:rsidRPr="0079407D" w:rsidRDefault="0079407D" w:rsidP="0050122E">
            <w:pPr>
              <w:spacing w:before="120" w:after="120" w:line="240" w:lineRule="auto"/>
              <w:ind w:left="360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fr-FR"/>
              </w:rPr>
            </w:pPr>
            <w:r w:rsidRPr="0079407D">
              <w:rPr>
                <w:rFonts w:ascii="Calibri" w:eastAsia="Times New Roman" w:hAnsi="Calibri" w:cs="Arial"/>
                <w:i/>
                <w:color w:val="000000"/>
                <w:sz w:val="24"/>
                <w:szCs w:val="24"/>
                <w:lang w:eastAsia="fr-FR"/>
              </w:rPr>
              <w:t>Sur devis</w:t>
            </w:r>
          </w:p>
        </w:tc>
      </w:tr>
    </w:tbl>
    <w:p w:rsidR="00DE1DED" w:rsidRDefault="00DE1DED"/>
    <w:p w:rsidR="00267081" w:rsidRDefault="00267081"/>
    <w:p w:rsidR="00E45807" w:rsidRDefault="00E45807">
      <w:pP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br w:type="page"/>
      </w:r>
    </w:p>
    <w:p w:rsidR="00267081" w:rsidRDefault="00267081" w:rsidP="00E4580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lastRenderedPageBreak/>
        <w:t xml:space="preserve">4) Accès </w:t>
      </w:r>
      <w:r w:rsidR="00D8149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 xml:space="preserve">aux principales 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plate</w:t>
      </w:r>
      <w:r w:rsidR="00D8149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s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 xml:space="preserve"> forme</w:t>
      </w:r>
      <w:r w:rsidR="00D81496"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>s</w:t>
      </w:r>
      <w:r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  <w:t xml:space="preserve"> de démo</w:t>
      </w:r>
    </w:p>
    <w:p w:rsidR="00E45807" w:rsidRDefault="00E45807" w:rsidP="00E45807">
      <w:pPr>
        <w:spacing w:after="0" w:line="240" w:lineRule="auto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</w:pPr>
      <w:r w:rsidRPr="00B924D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  <w:t>Accessible</w:t>
      </w:r>
      <w:r w:rsidR="00E4580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  <w:t>s</w:t>
      </w:r>
      <w:r w:rsidRPr="00B924D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  <w:t xml:space="preserve"> via les 3 URL suivantes</w:t>
      </w:r>
      <w:r w:rsidR="00E45807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  <w:t> </w:t>
      </w:r>
      <w:r w:rsidRPr="00B924DC"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  <w:t>:</w:t>
      </w:r>
    </w:p>
    <w:p w:rsidR="00E45807" w:rsidRPr="00B924DC" w:rsidRDefault="00E45807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 w:themeColor="text1"/>
          <w:sz w:val="24"/>
          <w:szCs w:val="24"/>
          <w:lang w:eastAsia="fr-FR"/>
        </w:rPr>
      </w:pPr>
    </w:p>
    <w:tbl>
      <w:tblPr>
        <w:tblStyle w:val="Grilledutableau"/>
        <w:tblW w:w="0" w:type="auto"/>
        <w:tblInd w:w="720" w:type="dxa"/>
        <w:tblLook w:val="04A0"/>
      </w:tblPr>
      <w:tblGrid>
        <w:gridCol w:w="6618"/>
        <w:gridCol w:w="4536"/>
        <w:gridCol w:w="2268"/>
      </w:tblGrid>
      <w:tr w:rsidR="00F57754" w:rsidTr="00E45807">
        <w:tc>
          <w:tcPr>
            <w:tcW w:w="6618" w:type="dxa"/>
          </w:tcPr>
          <w:p w:rsidR="00F57754" w:rsidRDefault="00F57754" w:rsidP="00B924DC">
            <w:pPr>
              <w:shd w:val="clear" w:color="auto" w:fill="FFFFFF"/>
              <w:spacing w:before="180" w:after="180" w:line="210" w:lineRule="atLeas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670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Métier dédié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aux Installateurs « BTP », plus spécifiquement aux Energie Renouvelable (Photovoltaïque,…)</w:t>
            </w:r>
          </w:p>
        </w:tc>
        <w:tc>
          <w:tcPr>
            <w:tcW w:w="4536" w:type="dxa"/>
          </w:tcPr>
          <w:p w:rsidR="00F57754" w:rsidRPr="00B924DC" w:rsidRDefault="0098780D" w:rsidP="00E00E6B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hyperlink r:id="rId9" w:history="1">
              <w:r w:rsidR="00F57754" w:rsidRPr="00B924DC">
                <w:rPr>
                  <w:rFonts w:ascii="Calibri" w:eastAsia="Times New Roman" w:hAnsi="Calibri" w:cs="Times New Roman"/>
                  <w:b/>
                  <w:color w:val="0000FF"/>
                  <w:u w:val="single"/>
                  <w:lang w:eastAsia="fr-FR"/>
                </w:rPr>
                <w:t>http://oleweb.fr/bip/v3/demo_ern</w:t>
              </w:r>
            </w:hyperlink>
          </w:p>
        </w:tc>
        <w:tc>
          <w:tcPr>
            <w:tcW w:w="2268" w:type="dxa"/>
          </w:tcPr>
          <w:p w:rsidR="00F57754" w:rsidRDefault="00F57754" w:rsidP="003E13FC">
            <w:pPr>
              <w:rPr>
                <w:b/>
              </w:rPr>
            </w:pPr>
            <w:r>
              <w:rPr>
                <w:b/>
              </w:rPr>
              <w:t>Login :</w:t>
            </w:r>
            <w:r w:rsidR="002E2B9F">
              <w:rPr>
                <w:b/>
              </w:rPr>
              <w:t xml:space="preserve"> </w:t>
            </w:r>
          </w:p>
          <w:p w:rsidR="00F57754" w:rsidRPr="00B924DC" w:rsidRDefault="00F57754" w:rsidP="003E13FC">
            <w:pPr>
              <w:rPr>
                <w:b/>
              </w:rPr>
            </w:pPr>
            <w:proofErr w:type="spellStart"/>
            <w:r>
              <w:rPr>
                <w:b/>
              </w:rPr>
              <w:t>Pswd</w:t>
            </w:r>
            <w:proofErr w:type="spellEnd"/>
            <w:r>
              <w:rPr>
                <w:b/>
              </w:rPr>
              <w:t> :</w:t>
            </w:r>
          </w:p>
        </w:tc>
      </w:tr>
      <w:tr w:rsidR="00F57754" w:rsidTr="00E45807">
        <w:tc>
          <w:tcPr>
            <w:tcW w:w="6618" w:type="dxa"/>
          </w:tcPr>
          <w:p w:rsidR="00F57754" w:rsidRPr="00267081" w:rsidRDefault="00F57754" w:rsidP="003E13FC">
            <w:pPr>
              <w:shd w:val="clear" w:color="auto" w:fill="FFFFFF"/>
              <w:spacing w:before="180" w:after="180" w:line="210" w:lineRule="atLeas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670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Métier dédié aux distributeurs de solutions d’impression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>, de téléphonie et de</w:t>
            </w:r>
            <w:r w:rsidRPr="002670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 services informatiques. </w:t>
            </w:r>
          </w:p>
          <w:p w:rsidR="00F57754" w:rsidRDefault="00F57754" w:rsidP="003E13FC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F57754" w:rsidRPr="00B924DC" w:rsidRDefault="0098780D" w:rsidP="00E00E6B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hyperlink r:id="rId10" w:history="1">
              <w:r w:rsidR="00F57754" w:rsidRPr="00B924DC">
                <w:rPr>
                  <w:rFonts w:ascii="Calibri" w:eastAsia="Times New Roman" w:hAnsi="Calibri" w:cs="Times New Roman"/>
                  <w:b/>
                  <w:color w:val="0000FF"/>
                  <w:u w:val="single"/>
                  <w:lang w:eastAsia="fr-FR"/>
                </w:rPr>
                <w:t>http://oleweb.fr/bip/v3/demo_copieur</w:t>
              </w:r>
            </w:hyperlink>
          </w:p>
        </w:tc>
        <w:tc>
          <w:tcPr>
            <w:tcW w:w="2268" w:type="dxa"/>
          </w:tcPr>
          <w:p w:rsidR="00A958A7" w:rsidRDefault="00A958A7" w:rsidP="00A958A7">
            <w:pPr>
              <w:rPr>
                <w:b/>
              </w:rPr>
            </w:pPr>
            <w:r>
              <w:rPr>
                <w:b/>
              </w:rPr>
              <w:t>Login :</w:t>
            </w:r>
            <w:r w:rsidR="002E2B9F">
              <w:rPr>
                <w:b/>
              </w:rPr>
              <w:t xml:space="preserve"> </w:t>
            </w:r>
          </w:p>
          <w:p w:rsidR="00F57754" w:rsidRPr="00B924DC" w:rsidRDefault="00A958A7" w:rsidP="00A958A7">
            <w:pPr>
              <w:rPr>
                <w:b/>
              </w:rPr>
            </w:pPr>
            <w:proofErr w:type="spellStart"/>
            <w:r>
              <w:rPr>
                <w:b/>
              </w:rPr>
              <w:t>Pswd</w:t>
            </w:r>
            <w:proofErr w:type="spellEnd"/>
            <w:r>
              <w:rPr>
                <w:b/>
              </w:rPr>
              <w:t> :</w:t>
            </w:r>
          </w:p>
        </w:tc>
      </w:tr>
      <w:tr w:rsidR="00F57754" w:rsidTr="00E45807">
        <w:tc>
          <w:tcPr>
            <w:tcW w:w="6618" w:type="dxa"/>
          </w:tcPr>
          <w:p w:rsidR="00F57754" w:rsidRDefault="00F57754" w:rsidP="00B924DC">
            <w:pPr>
              <w:shd w:val="clear" w:color="auto" w:fill="FFFFFF"/>
              <w:spacing w:before="180" w:after="180" w:line="210" w:lineRule="atLeast"/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r w:rsidRPr="00267081"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Métier dédié </w:t>
            </w:r>
            <w: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  <w:t xml:space="preserve">à la vente de matériels et suivi des commandes / Palettisation / Livraison </w:t>
            </w:r>
          </w:p>
          <w:p w:rsidR="00F57754" w:rsidRDefault="00F57754" w:rsidP="00B924DC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536" w:type="dxa"/>
          </w:tcPr>
          <w:p w:rsidR="00F57754" w:rsidRPr="00B924DC" w:rsidRDefault="0098780D" w:rsidP="00E00E6B">
            <w:pPr>
              <w:rPr>
                <w:rFonts w:ascii="Calibri" w:eastAsia="Times New Roman" w:hAnsi="Calibri" w:cs="Arial"/>
                <w:b/>
                <w:bCs/>
                <w:color w:val="000000"/>
                <w:sz w:val="24"/>
                <w:szCs w:val="24"/>
                <w:lang w:eastAsia="fr-FR"/>
              </w:rPr>
            </w:pPr>
            <w:hyperlink r:id="rId11" w:history="1">
              <w:r w:rsidR="00F57754" w:rsidRPr="00B924DC">
                <w:rPr>
                  <w:rFonts w:ascii="Calibri" w:eastAsia="Times New Roman" w:hAnsi="Calibri" w:cs="Times New Roman"/>
                  <w:b/>
                  <w:color w:val="0000FF"/>
                  <w:u w:val="single"/>
                  <w:lang w:eastAsia="fr-FR"/>
                </w:rPr>
                <w:t>http://oleweb.fr/bip/v3/demo_affaire</w:t>
              </w:r>
            </w:hyperlink>
          </w:p>
        </w:tc>
        <w:tc>
          <w:tcPr>
            <w:tcW w:w="2268" w:type="dxa"/>
          </w:tcPr>
          <w:p w:rsidR="00A958A7" w:rsidRDefault="00A958A7" w:rsidP="00A958A7">
            <w:pPr>
              <w:rPr>
                <w:b/>
              </w:rPr>
            </w:pPr>
            <w:r>
              <w:rPr>
                <w:b/>
              </w:rPr>
              <w:t>Login :</w:t>
            </w:r>
            <w:r w:rsidR="002E2B9F">
              <w:rPr>
                <w:b/>
              </w:rPr>
              <w:t xml:space="preserve"> </w:t>
            </w:r>
          </w:p>
          <w:p w:rsidR="00F57754" w:rsidRPr="00B924DC" w:rsidRDefault="00A958A7" w:rsidP="00A958A7">
            <w:pPr>
              <w:rPr>
                <w:b/>
              </w:rPr>
            </w:pPr>
            <w:proofErr w:type="spellStart"/>
            <w:r>
              <w:rPr>
                <w:b/>
              </w:rPr>
              <w:t>Pswd</w:t>
            </w:r>
            <w:proofErr w:type="spellEnd"/>
            <w:r>
              <w:rPr>
                <w:b/>
              </w:rPr>
              <w:t> :</w:t>
            </w:r>
          </w:p>
        </w:tc>
      </w:tr>
    </w:tbl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F57754" w:rsidRDefault="00F57754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837BA6" w:rsidRDefault="00837BA6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bCs/>
          <w:color w:val="FF0000"/>
          <w:sz w:val="24"/>
          <w:szCs w:val="24"/>
          <w:u w:val="single"/>
          <w:lang w:eastAsia="fr-FR"/>
        </w:rPr>
        <w:t>! LIMITATION DE LA PLATE FORME DE DEMO :</w:t>
      </w:r>
      <w:r w:rsidR="00267081"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 xml:space="preserve"> </w:t>
      </w:r>
    </w:p>
    <w:p w:rsidR="00837BA6" w:rsidRDefault="00837BA6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  <w:r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>L</w:t>
      </w:r>
      <w:r w:rsidR="00267081"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 xml:space="preserve">es catalogues (membre / Organisation / Matériel) ainsi que les modules fonctionnels (BL / Facturation / Tickets / …) sont communs aux 3 </w:t>
      </w:r>
      <w:r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>plates-formes</w:t>
      </w:r>
      <w:r w:rsidR="00267081"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 xml:space="preserve"> (</w:t>
      </w:r>
      <w:r w:rsid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 xml:space="preserve">3 environnements distincts mais </w:t>
      </w:r>
      <w:r w:rsidR="00267081"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 xml:space="preserve">une seules base de données). </w:t>
      </w:r>
    </w:p>
    <w:p w:rsidR="00837BA6" w:rsidRDefault="00837BA6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</w:p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  <w:r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>C’est plus gênant pour les Modules fonctionnels car on aura (par exemple) des factures rattachées à des dossiers qui ne sont pas accessibles d’un environnement à un autre.</w:t>
      </w:r>
    </w:p>
    <w:p w:rsidR="00837BA6" w:rsidRPr="00267081" w:rsidRDefault="00837BA6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</w:p>
    <w:p w:rsidR="00267081" w:rsidRP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</w:pPr>
      <w:r w:rsidRPr="00267081">
        <w:rPr>
          <w:rFonts w:ascii="Calibri" w:eastAsia="Times New Roman" w:hAnsi="Calibri" w:cs="Arial"/>
          <w:b/>
          <w:bCs/>
          <w:color w:val="FF0000"/>
          <w:sz w:val="24"/>
          <w:szCs w:val="24"/>
          <w:lang w:eastAsia="fr-FR"/>
        </w:rPr>
        <w:t>La mise en place de plate forme de démo complètement dédiée aux différents métiers est en cours de construction.</w:t>
      </w:r>
    </w:p>
    <w:p w:rsidR="00267081" w:rsidRDefault="00267081" w:rsidP="00267081">
      <w:pPr>
        <w:spacing w:after="0" w:line="240" w:lineRule="auto"/>
        <w:ind w:left="720"/>
        <w:rPr>
          <w:rFonts w:ascii="Calibri" w:eastAsia="Times New Roman" w:hAnsi="Calibri" w:cs="Arial"/>
          <w:b/>
          <w:bCs/>
          <w:color w:val="000000"/>
          <w:sz w:val="24"/>
          <w:szCs w:val="24"/>
          <w:lang w:eastAsia="fr-FR"/>
        </w:rPr>
      </w:pPr>
    </w:p>
    <w:p w:rsidR="00267081" w:rsidRDefault="00267081"/>
    <w:sectPr w:rsidR="00267081" w:rsidSect="00E4580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D5D" w:rsidRDefault="004F4D5D" w:rsidP="00CB7F2C">
      <w:pPr>
        <w:spacing w:after="0" w:line="240" w:lineRule="auto"/>
      </w:pPr>
      <w:r>
        <w:separator/>
      </w:r>
    </w:p>
  </w:endnote>
  <w:endnote w:type="continuationSeparator" w:id="0">
    <w:p w:rsidR="004F4D5D" w:rsidRDefault="004F4D5D" w:rsidP="00CB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C" w:rsidRDefault="00CB7F2C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C" w:rsidRDefault="00CB7F2C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C" w:rsidRDefault="00CB7F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D5D" w:rsidRDefault="004F4D5D" w:rsidP="00CB7F2C">
      <w:pPr>
        <w:spacing w:after="0" w:line="240" w:lineRule="auto"/>
      </w:pPr>
      <w:r>
        <w:separator/>
      </w:r>
    </w:p>
  </w:footnote>
  <w:footnote w:type="continuationSeparator" w:id="0">
    <w:p w:rsidR="004F4D5D" w:rsidRDefault="004F4D5D" w:rsidP="00CB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C" w:rsidRDefault="00CB7F2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964"/>
      <w:gridCol w:w="4270"/>
    </w:tblGrid>
    <w:tr w:rsidR="00CB7F2C">
      <w:tc>
        <w:tcPr>
          <w:tcW w:w="3500" w:type="pct"/>
          <w:tcBorders>
            <w:bottom w:val="single" w:sz="4" w:space="0" w:color="auto"/>
          </w:tcBorders>
          <w:vAlign w:val="bottom"/>
        </w:tcPr>
        <w:p w:rsidR="00CB7F2C" w:rsidRDefault="0098780D" w:rsidP="00CB7F2C">
          <w:pPr>
            <w:pStyle w:val="En-tte"/>
            <w:jc w:val="right"/>
            <w:rPr>
              <w:bCs/>
              <w:noProof/>
              <w:color w:val="76923C" w:themeColor="accent3" w:themeShade="BF"/>
              <w:sz w:val="24"/>
              <w:szCs w:val="24"/>
            </w:rPr>
          </w:pPr>
          <w:sdt>
            <w:sdtPr>
              <w:rPr>
                <w:b/>
                <w:bCs/>
                <w:color w:val="76923C" w:themeColor="accent3" w:themeShade="BF"/>
                <w:sz w:val="24"/>
                <w:szCs w:val="24"/>
              </w:rPr>
              <w:id w:val="58603147"/>
              <w:docPartObj>
                <w:docPartGallery w:val="Watermarks"/>
                <w:docPartUnique/>
              </w:docPartObj>
            </w:sdtPr>
            <w:sdtContent>
              <w:r w:rsidRPr="0098780D">
                <w:rPr>
                  <w:b/>
                  <w:bCs/>
                  <w:noProof/>
                  <w:color w:val="76923C" w:themeColor="accent3" w:themeShade="BF"/>
                  <w:sz w:val="24"/>
                  <w:szCs w:val="24"/>
                  <w:lang w:eastAsia="zh-TW"/>
                </w:rPr>
                <w:pict>
                  <v:shapetype id="_x0000_t136" coordsize="21600,21600" o:spt="136" adj="10800" path="m@7,l@8,m@5,21600l@6,21600e">
                    <v:formulas>
                      <v:f eqn="sum #0 0 10800"/>
                      <v:f eqn="prod #0 2 1"/>
                      <v:f eqn="sum 21600 0 @1"/>
                      <v:f eqn="sum 0 0 @2"/>
                      <v:f eqn="sum 21600 0 @3"/>
                      <v:f eqn="if @0 @3 0"/>
                      <v:f eqn="if @0 21600 @1"/>
                      <v:f eqn="if @0 0 @2"/>
                      <v:f eqn="if @0 @4 21600"/>
                      <v:f eqn="mid @5 @6"/>
                      <v:f eqn="mid @8 @5"/>
                      <v:f eqn="mid @7 @8"/>
                      <v:f eqn="mid @6 @7"/>
                      <v:f eqn="sum @6 0 @5"/>
                    </v:formulas>
                    <v:path textpathok="t" o:connecttype="custom" o:connectlocs="@9,0;@10,10800;@11,21600;@12,10800" o:connectangles="270,180,90,0"/>
                    <v:textpath on="t" fitshape="t"/>
                    <v:handles>
                      <v:h position="#0,bottomRight" xrange="6629,14971"/>
                    </v:handles>
                    <o:lock v:ext="edit" text="t" shapetype="t"/>
                  </v:shapetype>
                  <v:shape id="PowerPlusWaterMarkObject58892220" o:spid="_x0000_s4097" type="#_x0000_t136" style="position:absolute;left:0;text-align:left;margin-left:0;margin-top:0;width:465.1pt;height:174.4pt;rotation:315;z-index:-251658752;mso-position-horizontal:center;mso-position-horizontal-relative:margin;mso-position-vertical:center;mso-position-vertical-relative:margin" o:allowincell="f" fillcolor="#7f7f7f [1612]" stroked="f">
                    <v:fill opacity=".5"/>
                    <v:textpath style="font-family:&quot;Arial Black&quot;;font-size:1pt" string="DRAFT"/>
                    <w10:wrap anchorx="margin" anchory="margin"/>
                  </v:shape>
                </w:pict>
              </w:r>
            </w:sdtContent>
          </w:sdt>
          <w:r w:rsidR="00CB7F2C">
            <w:rPr>
              <w:b/>
              <w:bCs/>
              <w:color w:val="76923C" w:themeColor="accent3" w:themeShade="BF"/>
              <w:sz w:val="24"/>
              <w:szCs w:val="24"/>
            </w:rPr>
            <w:t>[</w:t>
          </w:r>
          <w:sdt>
            <w:sdtPr>
              <w:rPr>
                <w:b/>
                <w:bCs/>
                <w:caps/>
                <w:sz w:val="24"/>
                <w:szCs w:val="24"/>
              </w:rPr>
              <w:alias w:val="Titre"/>
              <w:id w:val="58603148"/>
              <w:placeholder>
                <w:docPart w:val="BF0775E7E96B448EA52C692A075EF2B8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Content>
              <w:r w:rsidR="00CB7F2C">
                <w:rPr>
                  <w:b/>
                  <w:bCs/>
                  <w:caps/>
                  <w:sz w:val="24"/>
                  <w:szCs w:val="24"/>
                </w:rPr>
                <w:t>BIP OleWeb : Offre &amp; Tarification</w:t>
              </w:r>
            </w:sdtContent>
          </w:sdt>
          <w:r w:rsidR="00CB7F2C">
            <w:rPr>
              <w:b/>
              <w:bCs/>
              <w:color w:val="76923C" w:themeColor="accent3" w:themeShade="BF"/>
              <w:sz w:val="24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Date"/>
          <w:id w:val="58603149"/>
          <w:dataBinding w:prefixMappings="xmlns:ns0='http://schemas.microsoft.com/office/2006/coverPageProps'" w:xpath="/ns0:CoverPageProperties[1]/ns0:PublishDate[1]" w:storeItemID="{55AF091B-3C7A-41E3-B477-F2FDAA23CFDA}"/>
          <w:date w:fullDate="2013-11-17T00:00:00Z">
            <w:dateFormat w:val="d MMMM yyyy"/>
            <w:lid w:val="fr-FR"/>
            <w:storeMappedDataAs w:val="dateTime"/>
            <w:calendar w:val="gregorian"/>
          </w:date>
        </w:sdtPr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CB7F2C" w:rsidRDefault="00CB7F2C">
              <w:pPr>
                <w:pStyle w:val="En-tte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17 novembre 2013</w:t>
              </w:r>
            </w:p>
          </w:tc>
        </w:sdtContent>
      </w:sdt>
    </w:tr>
  </w:tbl>
  <w:p w:rsidR="00CB7F2C" w:rsidRDefault="00CB7F2C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2C" w:rsidRDefault="00CB7F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30D8A"/>
    <w:multiLevelType w:val="hybridMultilevel"/>
    <w:tmpl w:val="42089C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334E8"/>
    <w:multiLevelType w:val="hybridMultilevel"/>
    <w:tmpl w:val="C56EA8F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5BB2851"/>
    <w:multiLevelType w:val="hybridMultilevel"/>
    <w:tmpl w:val="C39EF91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705782"/>
    <w:multiLevelType w:val="hybridMultilevel"/>
    <w:tmpl w:val="D23E40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84939"/>
    <w:multiLevelType w:val="hybridMultilevel"/>
    <w:tmpl w:val="CBAC30C8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1367E"/>
    <w:rsid w:val="000F266B"/>
    <w:rsid w:val="0012475E"/>
    <w:rsid w:val="002267E5"/>
    <w:rsid w:val="00267081"/>
    <w:rsid w:val="002B3647"/>
    <w:rsid w:val="002E2B9F"/>
    <w:rsid w:val="0032099A"/>
    <w:rsid w:val="00374B38"/>
    <w:rsid w:val="003813D0"/>
    <w:rsid w:val="0041367E"/>
    <w:rsid w:val="004F4D5D"/>
    <w:rsid w:val="00521458"/>
    <w:rsid w:val="00575749"/>
    <w:rsid w:val="007454DC"/>
    <w:rsid w:val="00777425"/>
    <w:rsid w:val="0079407D"/>
    <w:rsid w:val="007B701C"/>
    <w:rsid w:val="00837BA6"/>
    <w:rsid w:val="0087243C"/>
    <w:rsid w:val="009757DE"/>
    <w:rsid w:val="0098780D"/>
    <w:rsid w:val="00A565AC"/>
    <w:rsid w:val="00A85A3C"/>
    <w:rsid w:val="00A958A7"/>
    <w:rsid w:val="00B1006B"/>
    <w:rsid w:val="00B47579"/>
    <w:rsid w:val="00B924DC"/>
    <w:rsid w:val="00BC5DF6"/>
    <w:rsid w:val="00CB7F2C"/>
    <w:rsid w:val="00D81496"/>
    <w:rsid w:val="00DE1DED"/>
    <w:rsid w:val="00E45807"/>
    <w:rsid w:val="00ED750D"/>
    <w:rsid w:val="00EE52CB"/>
    <w:rsid w:val="00F57754"/>
    <w:rsid w:val="00FD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DE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D7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7574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5757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757DE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B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7F2C"/>
  </w:style>
  <w:style w:type="paragraph" w:styleId="Pieddepage">
    <w:name w:val="footer"/>
    <w:basedOn w:val="Normal"/>
    <w:link w:val="PieddepageCar"/>
    <w:uiPriority w:val="99"/>
    <w:semiHidden/>
    <w:unhideWhenUsed/>
    <w:rsid w:val="00CB7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B7F2C"/>
  </w:style>
  <w:style w:type="paragraph" w:styleId="Textedebulles">
    <w:name w:val="Balloon Text"/>
    <w:basedOn w:val="Normal"/>
    <w:link w:val="TextedebullesCar"/>
    <w:uiPriority w:val="99"/>
    <w:semiHidden/>
    <w:unhideWhenUsed/>
    <w:rsid w:val="00CB7F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7F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6242">
          <w:marLeft w:val="25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6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1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2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5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24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7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20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29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93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228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825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8643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4912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3969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61549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26711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1940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4366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19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0347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481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61056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8847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7867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63551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70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459376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721441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0685462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576527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44679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oleweb.fr/bip/v3/demo_affair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oleweb.fr/bip/v3/demo_copieur" TargetMode="External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hyperlink" Target="http://oleweb.fr/bip/v3/demo_ern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VODA\Activite\OLEWEB\02%20-%20Commercial\20%20Plaquettes\Offre%20et%20tarif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A5288"/>
    <w:rsid w:val="002A5288"/>
    <w:rsid w:val="005029AA"/>
    <w:rsid w:val="00660C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C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F0775E7E96B448EA52C692A075EF2B8">
    <w:name w:val="BF0775E7E96B448EA52C692A075EF2B8"/>
    <w:rsid w:val="002A5288"/>
  </w:style>
  <w:style w:type="paragraph" w:customStyle="1" w:styleId="1724D2B490D94DBE8F5C33D6BE08049D">
    <w:name w:val="1724D2B490D94DBE8F5C33D6BE08049D"/>
    <w:rsid w:val="002A528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2013-11-17T00:00:00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2F9973-7325-4CD7-BEBB-0562EECAA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Offre et tarification</Template>
  <TotalTime>435</TotalTime>
  <Pages>6</Pages>
  <Words>961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BIP OleWeb : Offre &amp; Tarification</dc:title>
  <dc:creator>yveshaddad53@gmail.com</dc:creator>
  <cp:lastModifiedBy>yveshaddad53@gmail.com</cp:lastModifiedBy>
  <cp:revision>20</cp:revision>
  <dcterms:created xsi:type="dcterms:W3CDTF">2013-11-17T07:24:00Z</dcterms:created>
  <dcterms:modified xsi:type="dcterms:W3CDTF">2013-11-17T14:54:00Z</dcterms:modified>
</cp:coreProperties>
</file>